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B0" w:rsidRDefault="00C96768">
      <w:pPr>
        <w:widowControl w:val="0"/>
        <w:jc w:val="center"/>
        <w:rPr>
          <w:rFonts w:eastAsia="SimSun"/>
          <w:b/>
          <w:caps/>
          <w:spacing w:val="-1"/>
          <w:lang w:eastAsia="zh-CN"/>
        </w:rPr>
      </w:pPr>
      <w:bookmarkStart w:id="0" w:name="_Toc215687174"/>
      <w:bookmarkStart w:id="1" w:name="_Toc220588741"/>
      <w:bookmarkStart w:id="2" w:name="_GoBack"/>
      <w:bookmarkEnd w:id="2"/>
      <w:r>
        <w:rPr>
          <w:rFonts w:eastAsia="SimSun"/>
          <w:b/>
          <w:spacing w:val="-1"/>
          <w:lang w:eastAsia="zh-CN"/>
        </w:rPr>
        <w:t>ФЕДЕРАЛЬНАЯ СЛУЖБА ПО ВЕТЕРИНАРНОМУ</w:t>
      </w:r>
    </w:p>
    <w:p w:rsidR="00032CB0" w:rsidRDefault="00C96768">
      <w:pPr>
        <w:widowControl w:val="0"/>
        <w:jc w:val="center"/>
        <w:rPr>
          <w:rFonts w:eastAsia="SimSun"/>
          <w:b/>
          <w:spacing w:val="-1"/>
          <w:lang w:eastAsia="zh-CN"/>
        </w:rPr>
      </w:pPr>
      <w:r>
        <w:rPr>
          <w:rFonts w:eastAsia="SimSun"/>
          <w:b/>
          <w:spacing w:val="-1"/>
          <w:lang w:eastAsia="zh-CN"/>
        </w:rPr>
        <w:t>И ФИТОСАНИТАРНОМУ НАДЗОРУ</w:t>
      </w:r>
    </w:p>
    <w:p w:rsidR="00032CB0" w:rsidRDefault="00C96768">
      <w:pPr>
        <w:widowControl w:val="0"/>
        <w:jc w:val="center"/>
        <w:rPr>
          <w:rFonts w:eastAsia="SimSun"/>
          <w:b/>
          <w:caps/>
          <w:spacing w:val="-1"/>
          <w:lang w:eastAsia="zh-CN"/>
        </w:rPr>
      </w:pPr>
      <w:r>
        <w:rPr>
          <w:rFonts w:eastAsia="SimSun"/>
          <w:b/>
          <w:caps/>
          <w:spacing w:val="-1"/>
          <w:lang w:eastAsia="zh-CN"/>
        </w:rPr>
        <w:t>(</w:t>
      </w:r>
      <w:r>
        <w:rPr>
          <w:rFonts w:eastAsia="SimSun"/>
          <w:b/>
          <w:spacing w:val="-1"/>
          <w:lang w:eastAsia="zh-CN"/>
        </w:rPr>
        <w:t>Россельхознадзор</w:t>
      </w:r>
      <w:r>
        <w:rPr>
          <w:rFonts w:eastAsia="SimSun"/>
          <w:b/>
          <w:caps/>
          <w:spacing w:val="-1"/>
          <w:lang w:eastAsia="zh-CN"/>
        </w:rPr>
        <w:t>)</w:t>
      </w:r>
    </w:p>
    <w:p w:rsidR="00032CB0" w:rsidRDefault="00C96768">
      <w:pPr>
        <w:spacing w:before="120"/>
        <w:jc w:val="center"/>
        <w:rPr>
          <w:rFonts w:eastAsia="Calibri"/>
          <w:b/>
          <w:bCs/>
          <w:spacing w:val="-1"/>
        </w:rPr>
      </w:pPr>
      <w:r>
        <w:rPr>
          <w:rFonts w:eastAsia="Calibri"/>
          <w:b/>
          <w:bCs/>
          <w:spacing w:val="-1"/>
        </w:rPr>
        <w:t>Федеральное государственное бюджетное учреждение</w:t>
      </w:r>
    </w:p>
    <w:p w:rsidR="00032CB0" w:rsidRDefault="00C96768">
      <w:pPr>
        <w:jc w:val="center"/>
        <w:rPr>
          <w:rFonts w:eastAsia="Calibri"/>
          <w:b/>
          <w:bCs/>
          <w:spacing w:val="-1"/>
        </w:rPr>
      </w:pPr>
      <w:r>
        <w:rPr>
          <w:rFonts w:eastAsia="Calibri"/>
          <w:b/>
          <w:bCs/>
          <w:spacing w:val="-1"/>
        </w:rPr>
        <w:t>«ВСЕРОССИЙСКИЙ ЦЕНТР КАРАНТИНА РАСТЕНИЙ»</w:t>
      </w:r>
    </w:p>
    <w:p w:rsidR="00032CB0" w:rsidRDefault="00C96768">
      <w:pPr>
        <w:jc w:val="center"/>
        <w:rPr>
          <w:rFonts w:eastAsia="Calibri"/>
          <w:b/>
          <w:bCs/>
          <w:spacing w:val="-1"/>
        </w:rPr>
      </w:pPr>
      <w:r>
        <w:rPr>
          <w:rFonts w:eastAsia="Calibri"/>
          <w:b/>
          <w:bCs/>
          <w:spacing w:val="-1"/>
        </w:rPr>
        <w:t>(ФГБУ «ВНИИКР»)</w:t>
      </w:r>
    </w:p>
    <w:p w:rsidR="00032CB0" w:rsidRDefault="00032CB0">
      <w:pPr>
        <w:widowControl w:val="0"/>
        <w:ind w:left="-142"/>
        <w:jc w:val="center"/>
        <w:rPr>
          <w:rFonts w:eastAsia="SimSun"/>
          <w:b/>
          <w:lang w:eastAsia="ar-SA"/>
        </w:rPr>
      </w:pPr>
    </w:p>
    <w:p w:rsidR="00032CB0" w:rsidRDefault="00032CB0">
      <w:pPr>
        <w:widowControl w:val="0"/>
        <w:ind w:left="-142"/>
        <w:jc w:val="center"/>
        <w:rPr>
          <w:rFonts w:eastAsia="SimSun"/>
          <w:b/>
          <w:lang w:eastAsia="ar-SA"/>
        </w:rPr>
      </w:pPr>
    </w:p>
    <w:p w:rsidR="00032CB0" w:rsidRDefault="00032CB0">
      <w:pPr>
        <w:widowControl w:val="0"/>
        <w:ind w:left="-142"/>
        <w:jc w:val="center"/>
        <w:rPr>
          <w:rFonts w:eastAsia="SimSun"/>
          <w:b/>
          <w:lang w:eastAsia="ar-SA"/>
        </w:rPr>
      </w:pPr>
    </w:p>
    <w:p w:rsidR="00032CB0" w:rsidRDefault="00032CB0">
      <w:pPr>
        <w:widowControl w:val="0"/>
        <w:ind w:left="-142"/>
        <w:jc w:val="center"/>
        <w:rPr>
          <w:rFonts w:eastAsia="SimSun"/>
          <w:b/>
          <w:lang w:eastAsia="ar-SA"/>
        </w:rPr>
      </w:pPr>
    </w:p>
    <w:p w:rsidR="00032CB0" w:rsidRDefault="00C96768">
      <w:pPr>
        <w:pStyle w:val="aff7"/>
        <w:outlineLvl w:val="9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МЕТОДИЧЕСКИЕ РЕКОМЕНДАЦИИ </w:t>
      </w:r>
    </w:p>
    <w:p w:rsidR="00032CB0" w:rsidRDefault="00C96768">
      <w:pPr>
        <w:pStyle w:val="aff7"/>
        <w:spacing w:before="0" w:after="0"/>
        <w:outlineLvl w:val="9"/>
        <w:rPr>
          <w:b w:val="0"/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ПО БОРЬБЕ С БОРЩЕВИКОМ СОСНОВСКОГО</w:t>
      </w:r>
    </w:p>
    <w:p w:rsidR="00032CB0" w:rsidRDefault="00C96768">
      <w:pPr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(</w:t>
      </w:r>
      <w:proofErr w:type="spellStart"/>
      <w:r>
        <w:rPr>
          <w:b/>
          <w:i/>
          <w:sz w:val="32"/>
          <w:szCs w:val="32"/>
          <w:lang w:eastAsia="ar-SA"/>
        </w:rPr>
        <w:t>Heracleum</w:t>
      </w:r>
      <w:proofErr w:type="spellEnd"/>
      <w:r>
        <w:rPr>
          <w:b/>
          <w:i/>
          <w:sz w:val="32"/>
          <w:szCs w:val="32"/>
          <w:lang w:eastAsia="ar-SA"/>
        </w:rPr>
        <w:t xml:space="preserve"> </w:t>
      </w:r>
      <w:proofErr w:type="spellStart"/>
      <w:r>
        <w:rPr>
          <w:b/>
          <w:i/>
          <w:sz w:val="32"/>
          <w:szCs w:val="32"/>
          <w:lang w:eastAsia="ar-SA"/>
        </w:rPr>
        <w:t>sosnovskyi</w:t>
      </w:r>
      <w:proofErr w:type="spellEnd"/>
      <w:r>
        <w:rPr>
          <w:b/>
          <w:sz w:val="32"/>
          <w:szCs w:val="32"/>
          <w:lang w:eastAsia="ar-SA"/>
        </w:rPr>
        <w:t xml:space="preserve"> </w:t>
      </w:r>
      <w:proofErr w:type="spellStart"/>
      <w:r>
        <w:rPr>
          <w:b/>
          <w:sz w:val="32"/>
          <w:szCs w:val="32"/>
          <w:lang w:eastAsia="ar-SA"/>
        </w:rPr>
        <w:t>Manden</w:t>
      </w:r>
      <w:proofErr w:type="spellEnd"/>
      <w:r>
        <w:rPr>
          <w:b/>
          <w:sz w:val="32"/>
          <w:szCs w:val="32"/>
          <w:lang w:eastAsia="ar-SA"/>
        </w:rPr>
        <w:t>.)</w:t>
      </w:r>
    </w:p>
    <w:p w:rsidR="00C13DDF" w:rsidRPr="00C13DDF" w:rsidRDefault="00C13DDF" w:rsidP="00C13DDF">
      <w:pPr>
        <w:pStyle w:val="aff7"/>
        <w:outlineLvl w:val="9"/>
        <w:rPr>
          <w:color w:val="auto"/>
          <w:sz w:val="32"/>
          <w:szCs w:val="32"/>
        </w:rPr>
      </w:pPr>
      <w:r w:rsidRPr="00C13DDF">
        <w:rPr>
          <w:color w:val="auto"/>
          <w:sz w:val="32"/>
          <w:szCs w:val="32"/>
        </w:rPr>
        <w:t>на землях сельскохозяйственного назначения</w:t>
      </w:r>
    </w:p>
    <w:p w:rsidR="00032CB0" w:rsidRDefault="00032CB0">
      <w:pPr>
        <w:jc w:val="center"/>
        <w:rPr>
          <w:b/>
          <w:lang w:eastAsia="ar-SA"/>
        </w:rPr>
      </w:pPr>
    </w:p>
    <w:p w:rsidR="00032CB0" w:rsidRDefault="00C96768">
      <w:pPr>
        <w:ind w:left="-142"/>
        <w:jc w:val="center"/>
        <w:rPr>
          <w:b/>
          <w:lang w:eastAsia="ar-SA"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4361815" cy="5029200"/>
                <wp:effectExtent l="0" t="0" r="635" b="0"/>
                <wp:docPr id="1" name="Рисунок 3" descr="C:\Users\kulakova_j\Downloads\IMG_0469-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kulakova_j\Downloads\IMG_0469-big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11288" b="23926"/>
                        <a:stretch/>
                      </pic:blipFill>
                      <pic:spPr bwMode="auto">
                        <a:xfrm>
                          <a:off x="0" y="0"/>
                          <a:ext cx="4368081" cy="503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3.45pt;height:396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032CB0" w:rsidRDefault="00032CB0">
      <w:pPr>
        <w:ind w:left="-142"/>
        <w:jc w:val="center"/>
        <w:rPr>
          <w:b/>
          <w:lang w:eastAsia="ar-SA"/>
        </w:rPr>
      </w:pPr>
    </w:p>
    <w:p w:rsidR="00032CB0" w:rsidRDefault="00032CB0">
      <w:pPr>
        <w:ind w:left="-142"/>
        <w:jc w:val="center"/>
        <w:rPr>
          <w:b/>
          <w:lang w:eastAsia="ar-SA"/>
        </w:rPr>
      </w:pPr>
    </w:p>
    <w:p w:rsidR="00032CB0" w:rsidRDefault="00C96768">
      <w:pPr>
        <w:ind w:left="-142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2026</w:t>
      </w:r>
    </w:p>
    <w:p w:rsidR="00032CB0" w:rsidRDefault="00C96768">
      <w:pPr>
        <w:ind w:left="-142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br w:type="page" w:clear="all"/>
      </w:r>
    </w:p>
    <w:p w:rsidR="00032CB0" w:rsidRPr="007943BE" w:rsidRDefault="00C96768">
      <w:pPr>
        <w:pStyle w:val="1"/>
        <w:spacing w:beforeAutospacing="0" w:afterAutospacing="0" w:line="283" w:lineRule="atLeast"/>
        <w:ind w:left="993" w:right="566"/>
        <w:rPr>
          <w:sz w:val="28"/>
          <w:szCs w:val="28"/>
          <w:lang w:val="ru-RU"/>
        </w:rPr>
      </w:pPr>
      <w:bookmarkStart w:id="3" w:name="_Toc234595554"/>
      <w:bookmarkEnd w:id="0"/>
      <w:bookmarkEnd w:id="1"/>
      <w:r>
        <w:rPr>
          <w:sz w:val="28"/>
          <w:szCs w:val="28"/>
          <w:lang w:val="ru-RU"/>
        </w:rPr>
        <w:lastRenderedPageBreak/>
        <w:t>Комплекс мер по борьбе с борщевиком Сосновского на землях сельскохозяйственного назначения</w:t>
      </w:r>
      <w:bookmarkEnd w:id="3"/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землях сельскохозяйственного назначения следует последовательно проводить следующие комплексы мероприятий: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весенне-летнее время: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обработка гербицидами;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вспашка и культивация (либо дискование в два следа перекрестно);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посев многолетних бобовых трав (клевер красный; клевер гибридный, клевер ползучий; люцерна и т.п.).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вторую половину лета: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скашивание;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обработка гербицидами;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вспашка/культивация, подготовка под посев;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посев бобовых или злаковых культур, например, озимых зерновых в зависимости от примененного ранее пестицида.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водоохранных зонах: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одно- или двукратное скашивание;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вспашка и культивация (либо дискование в два следа перекрестно);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посев многолетних бобовых или газонных культур, луговых трав.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Pr="007943BE" w:rsidRDefault="00C96768">
      <w:pPr>
        <w:pStyle w:val="1"/>
        <w:spacing w:beforeAutospacing="0" w:afterAutospacing="0" w:line="283" w:lineRule="atLeast"/>
        <w:rPr>
          <w:sz w:val="28"/>
          <w:szCs w:val="28"/>
          <w:lang w:val="ru-RU"/>
        </w:rPr>
      </w:pPr>
      <w:bookmarkStart w:id="4" w:name="_Toc234595555"/>
      <w:r>
        <w:rPr>
          <w:sz w:val="28"/>
          <w:szCs w:val="28"/>
          <w:lang w:val="ru-RU"/>
        </w:rPr>
        <w:t>Мероприятия по борьбе с борщевиком Сосновского</w:t>
      </w:r>
      <w:bookmarkEnd w:id="4"/>
    </w:p>
    <w:p w:rsidR="00032CB0" w:rsidRPr="007943BE" w:rsidRDefault="00032CB0">
      <w:pPr>
        <w:pStyle w:val="a7"/>
        <w:spacing w:before="0" w:after="0" w:line="283" w:lineRule="atLeast"/>
        <w:rPr>
          <w:szCs w:val="28"/>
          <w:lang w:val="ru-RU"/>
        </w:rPr>
      </w:pPr>
    </w:p>
    <w:p w:rsidR="00032CB0" w:rsidRPr="007943BE" w:rsidRDefault="00C96768">
      <w:pPr>
        <w:pStyle w:val="a7"/>
        <w:spacing w:before="0" w:after="0" w:line="283" w:lineRule="atLeast"/>
        <w:rPr>
          <w:szCs w:val="28"/>
          <w:lang w:val="ru-RU"/>
        </w:rPr>
      </w:pPr>
      <w:bookmarkStart w:id="5" w:name="_Toc234595556"/>
      <w:r>
        <w:rPr>
          <w:szCs w:val="28"/>
          <w:lang w:val="ru-RU"/>
        </w:rPr>
        <w:t>Химические мероприятия</w:t>
      </w:r>
      <w:bookmarkEnd w:id="5"/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гербицида для обработки участков необходимо ориентироваться на следующее: </w:t>
      </w:r>
    </w:p>
    <w:p w:rsidR="00032CB0" w:rsidRDefault="00C96768">
      <w:pPr>
        <w:spacing w:line="283" w:lineRule="atLeast"/>
        <w:ind w:firstLine="709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по спектру действия подходят: </w:t>
      </w:r>
    </w:p>
    <w:p w:rsidR="00032CB0" w:rsidRDefault="00C96768">
      <w:pPr>
        <w:spacing w:line="283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все гербициды неизбирательного действия;</w:t>
      </w:r>
    </w:p>
    <w:p w:rsidR="00032CB0" w:rsidRDefault="00C96768">
      <w:pPr>
        <w:spacing w:line="283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все гербициды против двудольных сорняков;</w:t>
      </w:r>
    </w:p>
    <w:p w:rsidR="00032CB0" w:rsidRDefault="00C96768">
      <w:pPr>
        <w:spacing w:line="283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не подходят гербициды против однодольных.</w:t>
      </w:r>
    </w:p>
    <w:p w:rsidR="00032CB0" w:rsidRDefault="00C96768">
      <w:pPr>
        <w:spacing w:line="283" w:lineRule="atLeast"/>
        <w:ind w:firstLine="709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по регламенту применения</w:t>
      </w:r>
      <w:r>
        <w:rPr>
          <w:i/>
          <w:iCs/>
          <w:sz w:val="28"/>
          <w:szCs w:val="28"/>
        </w:rPr>
        <w:t xml:space="preserve"> на основе действующих веществ: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глифосата</w:t>
      </w:r>
      <w:proofErr w:type="spellEnd"/>
      <w:r>
        <w:rPr>
          <w:sz w:val="28"/>
          <w:szCs w:val="28"/>
        </w:rPr>
        <w:t xml:space="preserve"> кислоты (калийная, натриевая, </w:t>
      </w:r>
      <w:proofErr w:type="spellStart"/>
      <w:r>
        <w:rPr>
          <w:sz w:val="28"/>
          <w:szCs w:val="28"/>
        </w:rPr>
        <w:t>изопропиламинная</w:t>
      </w:r>
      <w:proofErr w:type="spellEnd"/>
      <w:r>
        <w:rPr>
          <w:sz w:val="28"/>
          <w:szCs w:val="28"/>
        </w:rPr>
        <w:t xml:space="preserve"> соли);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дикамбы</w:t>
      </w:r>
      <w:proofErr w:type="spellEnd"/>
      <w:r>
        <w:rPr>
          <w:sz w:val="28"/>
          <w:szCs w:val="28"/>
        </w:rPr>
        <w:t xml:space="preserve"> кислоты (и смесевые);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имазамокса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имазапира</w:t>
      </w:r>
      <w:proofErr w:type="spellEnd"/>
      <w:r>
        <w:rPr>
          <w:sz w:val="28"/>
          <w:szCs w:val="28"/>
        </w:rPr>
        <w:t xml:space="preserve"> (и смесевые);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пиклорама</w:t>
      </w:r>
      <w:proofErr w:type="spellEnd"/>
      <w:r>
        <w:rPr>
          <w:sz w:val="28"/>
          <w:szCs w:val="28"/>
        </w:rPr>
        <w:t>;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МЦПА;</w:t>
      </w:r>
    </w:p>
    <w:p w:rsidR="00032CB0" w:rsidRDefault="00C96768">
      <w:pPr>
        <w:numPr>
          <w:ilvl w:val="0"/>
          <w:numId w:val="10"/>
        </w:numPr>
        <w:tabs>
          <w:tab w:val="left" w:pos="1068"/>
        </w:tabs>
        <w:spacing w:line="283" w:lineRule="atLeast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сульфонилмочевины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метсульфурон</w:t>
      </w:r>
      <w:proofErr w:type="spellEnd"/>
      <w:r>
        <w:rPr>
          <w:sz w:val="28"/>
          <w:szCs w:val="28"/>
        </w:rPr>
        <w:t xml:space="preserve">-метил, </w:t>
      </w:r>
      <w:proofErr w:type="spellStart"/>
      <w:r>
        <w:rPr>
          <w:sz w:val="28"/>
          <w:szCs w:val="28"/>
        </w:rPr>
        <w:t>сульфометурон</w:t>
      </w:r>
      <w:proofErr w:type="spellEnd"/>
      <w:r>
        <w:rPr>
          <w:sz w:val="28"/>
          <w:szCs w:val="28"/>
        </w:rPr>
        <w:t>-метила кислота (калиевая соль) и др.).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Коммерческие названия препаратов на основе данных действующих веществ и их смесей и рекомендуемые нормы их применения имеются в официальном Реестре пестицидов и агрохимикатов.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Default="00C96768">
      <w:pPr>
        <w:widowControl w:val="0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Выбирается одна из схем применения гербицидов:</w:t>
      </w:r>
    </w:p>
    <w:p w:rsidR="00032CB0" w:rsidRDefault="00C96768">
      <w:pPr>
        <w:tabs>
          <w:tab w:val="left" w:pos="1260"/>
        </w:tabs>
        <w:spacing w:line="283" w:lineRule="atLeast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 Двукратная обработка очагов:</w:t>
      </w:r>
    </w:p>
    <w:p w:rsidR="00032CB0" w:rsidRDefault="00C96768">
      <w:pPr>
        <w:pStyle w:val="a4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обработка проводится в весенне-летний период: одним из гербицидов на основе калийной соли </w:t>
      </w:r>
      <w:proofErr w:type="spellStart"/>
      <w:r>
        <w:rPr>
          <w:sz w:val="28"/>
          <w:szCs w:val="28"/>
        </w:rPr>
        <w:t>глифосата</w:t>
      </w:r>
      <w:proofErr w:type="spellEnd"/>
      <w:r>
        <w:rPr>
          <w:sz w:val="28"/>
          <w:szCs w:val="28"/>
        </w:rPr>
        <w:t xml:space="preserve"> кислоты. </w:t>
      </w:r>
    </w:p>
    <w:p w:rsidR="00032CB0" w:rsidRDefault="00C96768">
      <w:pPr>
        <w:pStyle w:val="a4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обработка осуществляется в летне-осенний период: одним из гербицидов на основе </w:t>
      </w:r>
      <w:proofErr w:type="spellStart"/>
      <w:r>
        <w:rPr>
          <w:sz w:val="28"/>
          <w:szCs w:val="28"/>
        </w:rPr>
        <w:t>изопропиламинной</w:t>
      </w:r>
      <w:proofErr w:type="spellEnd"/>
      <w:r>
        <w:rPr>
          <w:sz w:val="28"/>
          <w:szCs w:val="28"/>
        </w:rPr>
        <w:t xml:space="preserve"> соли </w:t>
      </w:r>
      <w:proofErr w:type="spellStart"/>
      <w:r>
        <w:rPr>
          <w:sz w:val="28"/>
          <w:szCs w:val="28"/>
        </w:rPr>
        <w:t>глифосата</w:t>
      </w:r>
      <w:proofErr w:type="spellEnd"/>
      <w:r>
        <w:rPr>
          <w:sz w:val="28"/>
          <w:szCs w:val="28"/>
        </w:rPr>
        <w:t xml:space="preserve"> кислоты или на основе </w:t>
      </w:r>
      <w:proofErr w:type="spellStart"/>
      <w:r>
        <w:rPr>
          <w:sz w:val="28"/>
          <w:szCs w:val="28"/>
        </w:rPr>
        <w:t>дикамбы</w:t>
      </w:r>
      <w:proofErr w:type="spellEnd"/>
      <w:r>
        <w:rPr>
          <w:sz w:val="28"/>
          <w:szCs w:val="28"/>
        </w:rPr>
        <w:t>.</w:t>
      </w:r>
    </w:p>
    <w:p w:rsidR="00032CB0" w:rsidRDefault="00C96768">
      <w:pPr>
        <w:tabs>
          <w:tab w:val="left" w:pos="1260"/>
        </w:tabs>
        <w:spacing w:line="283" w:lineRule="atLeas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2. Однократная обработка очагов (выбирается в зависимости от категории земельного участка и севооборота в соответствии с регламентами применения для каждого гербицида)</w:t>
      </w:r>
      <w:r>
        <w:rPr>
          <w:sz w:val="28"/>
          <w:szCs w:val="28"/>
        </w:rPr>
        <w:t>:</w:t>
      </w:r>
    </w:p>
    <w:p w:rsidR="00032CB0" w:rsidRDefault="00C96768">
      <w:pPr>
        <w:pStyle w:val="a4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баковой смесью гербицида на основе </w:t>
      </w:r>
      <w:proofErr w:type="spellStart"/>
      <w:r>
        <w:rPr>
          <w:sz w:val="28"/>
          <w:szCs w:val="28"/>
        </w:rPr>
        <w:t>метсульфурон</w:t>
      </w:r>
      <w:proofErr w:type="spellEnd"/>
      <w:r>
        <w:rPr>
          <w:sz w:val="28"/>
          <w:szCs w:val="28"/>
        </w:rPr>
        <w:t xml:space="preserve">–метила и одним из гербицидов на основе солей </w:t>
      </w:r>
      <w:proofErr w:type="spellStart"/>
      <w:r>
        <w:rPr>
          <w:sz w:val="28"/>
          <w:szCs w:val="28"/>
        </w:rPr>
        <w:t>глифосата</w:t>
      </w:r>
      <w:proofErr w:type="spellEnd"/>
      <w:r>
        <w:rPr>
          <w:sz w:val="28"/>
          <w:szCs w:val="28"/>
        </w:rPr>
        <w:t xml:space="preserve"> кислоты;</w:t>
      </w:r>
    </w:p>
    <w:p w:rsidR="00032CB0" w:rsidRDefault="00C96768">
      <w:pPr>
        <w:pStyle w:val="a4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баковой смесью гербицида на основе </w:t>
      </w:r>
      <w:proofErr w:type="spellStart"/>
      <w:r>
        <w:rPr>
          <w:sz w:val="28"/>
          <w:szCs w:val="28"/>
        </w:rPr>
        <w:t>метсульфурон</w:t>
      </w:r>
      <w:proofErr w:type="spellEnd"/>
      <w:r>
        <w:rPr>
          <w:sz w:val="28"/>
          <w:szCs w:val="28"/>
        </w:rPr>
        <w:t>-метила и гербицида на основе МЦПА;</w:t>
      </w:r>
    </w:p>
    <w:p w:rsidR="00032CB0" w:rsidRDefault="00C96768">
      <w:pPr>
        <w:pStyle w:val="a4"/>
        <w:spacing w:line="283" w:lineRule="atLeast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2.3 баковой смесью гербицида на основе </w:t>
      </w:r>
      <w:proofErr w:type="spellStart"/>
      <w:r>
        <w:rPr>
          <w:sz w:val="28"/>
          <w:szCs w:val="28"/>
        </w:rPr>
        <w:t>метсульфурон</w:t>
      </w:r>
      <w:proofErr w:type="spellEnd"/>
      <w:r>
        <w:rPr>
          <w:sz w:val="28"/>
          <w:szCs w:val="28"/>
        </w:rPr>
        <w:t xml:space="preserve">-метила и гербицида на основе МЦПА + </w:t>
      </w:r>
      <w:proofErr w:type="spellStart"/>
      <w:r>
        <w:rPr>
          <w:sz w:val="28"/>
          <w:szCs w:val="28"/>
        </w:rPr>
        <w:t>пиклорам</w:t>
      </w:r>
      <w:proofErr w:type="spellEnd"/>
      <w:r>
        <w:rPr>
          <w:sz w:val="28"/>
          <w:szCs w:val="28"/>
        </w:rPr>
        <w:t xml:space="preserve">. 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3. Обработка сенокосных угодий </w:t>
      </w:r>
      <w:r>
        <w:rPr>
          <w:sz w:val="28"/>
          <w:szCs w:val="28"/>
        </w:rPr>
        <w:t xml:space="preserve">гербицидами на основе </w:t>
      </w:r>
      <w:proofErr w:type="spellStart"/>
      <w:r>
        <w:rPr>
          <w:sz w:val="28"/>
          <w:szCs w:val="28"/>
        </w:rPr>
        <w:t>дикамбы</w:t>
      </w:r>
      <w:proofErr w:type="spellEnd"/>
      <w:r>
        <w:rPr>
          <w:sz w:val="28"/>
          <w:szCs w:val="28"/>
        </w:rPr>
        <w:t>.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используемых гербицидов, нормы применения, время обработки и кратность устанавливаются в зависимости от предшествующей, выращиваемой и последующей культур согласно регламентам применения, включенным в Государственный реестр пестицидов и агрохимикатов.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Pr="007943BE" w:rsidRDefault="00C96768">
      <w:pPr>
        <w:pStyle w:val="a7"/>
        <w:spacing w:before="0" w:after="0" w:line="283" w:lineRule="atLeast"/>
        <w:rPr>
          <w:szCs w:val="28"/>
          <w:lang w:val="ru-RU"/>
        </w:rPr>
      </w:pPr>
      <w:bookmarkStart w:id="6" w:name="_Toc234595557"/>
      <w:r>
        <w:rPr>
          <w:szCs w:val="28"/>
          <w:lang w:val="ru-RU"/>
        </w:rPr>
        <w:t>Агротехнические и механические мероприятия</w:t>
      </w:r>
      <w:bookmarkEnd w:id="6"/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Скашивание и выкапывание проводится на территориях, имеющих ограничения применения гербицидов (водоохранные зоны, места отдыха людей, и др.) или там, где химическая обработка не проведена в срок. Скашивание повторяют в летний период не реже, чем 1 раз в 14 дней до полного уничтожения зарослей.</w:t>
      </w:r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территориях сельскохозяйственных предприятий (где возможно применение сельскохозяйственной техники), проводят вспашку и дискование для полного уничтожения вегетирующих растений борщевика Сосновского.</w:t>
      </w:r>
    </w:p>
    <w:p w:rsidR="00032CB0" w:rsidRDefault="00032CB0">
      <w:pPr>
        <w:spacing w:line="283" w:lineRule="atLeast"/>
        <w:ind w:firstLine="709"/>
        <w:jc w:val="both"/>
        <w:rPr>
          <w:sz w:val="28"/>
          <w:szCs w:val="28"/>
        </w:rPr>
      </w:pPr>
    </w:p>
    <w:p w:rsidR="00032CB0" w:rsidRPr="007943BE" w:rsidRDefault="00C96768">
      <w:pPr>
        <w:pStyle w:val="1"/>
        <w:spacing w:beforeAutospacing="0" w:afterAutospacing="0" w:line="283" w:lineRule="atLeast"/>
        <w:rPr>
          <w:sz w:val="28"/>
          <w:szCs w:val="28"/>
          <w:lang w:val="ru-RU"/>
        </w:rPr>
      </w:pPr>
      <w:bookmarkStart w:id="7" w:name="_Toc234595559"/>
      <w:r>
        <w:rPr>
          <w:sz w:val="28"/>
          <w:szCs w:val="28"/>
          <w:lang w:val="ru-RU"/>
        </w:rPr>
        <w:t>Меры безопасности</w:t>
      </w:r>
      <w:bookmarkEnd w:id="7"/>
    </w:p>
    <w:p w:rsidR="00032CB0" w:rsidRDefault="00C96768">
      <w:pPr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борьбе с борщевиком Сосновского необходимо проводить в специальной одежде и с использованием средств индивидуальной защиты (водонепроницаемый костюм с капюшоном, резиновые сапоги и перчатки с высокой манжетой для защиты запястий рук, защитные очки, респираторы или маски). Мероприятия проводят в ранние часы или вечером. В случае попадания сока борщевика Сосновского на кожу необходимо как можно скорее промыть ее водой с мылом и исключить пребывание на солнце на 1–3 суток. В случае проявления ожогов следует обратиться к врачу.</w:t>
      </w:r>
    </w:p>
    <w:sectPr w:rsidR="00032CB0">
      <w:footerReference w:type="default" r:id="rId12"/>
      <w:pgSz w:w="11906" w:h="16838"/>
      <w:pgMar w:top="1134" w:right="991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86F" w:rsidRDefault="0060386F">
      <w:r>
        <w:separator/>
      </w:r>
    </w:p>
  </w:endnote>
  <w:endnote w:type="continuationSeparator" w:id="0">
    <w:p w:rsidR="0060386F" w:rsidRDefault="00603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2568011"/>
      <w:docPartObj>
        <w:docPartGallery w:val="Page Numbers (Bottom of Page)"/>
        <w:docPartUnique/>
      </w:docPartObj>
    </w:sdtPr>
    <w:sdtEndPr/>
    <w:sdtContent>
      <w:p w:rsidR="00032CB0" w:rsidRDefault="00C9676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466" w:rsidRPr="00B70466">
          <w:rPr>
            <w:noProof/>
            <w:lang w:val="ru-RU"/>
          </w:rPr>
          <w:t>2</w:t>
        </w:r>
        <w:r>
          <w:fldChar w:fldCharType="end"/>
        </w:r>
      </w:p>
    </w:sdtContent>
  </w:sdt>
  <w:p w:rsidR="00032CB0" w:rsidRDefault="00032CB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86F" w:rsidRDefault="0060386F">
      <w:r>
        <w:separator/>
      </w:r>
    </w:p>
  </w:footnote>
  <w:footnote w:type="continuationSeparator" w:id="0">
    <w:p w:rsidR="0060386F" w:rsidRDefault="00603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6E"/>
    <w:multiLevelType w:val="hybridMultilevel"/>
    <w:tmpl w:val="0178B7CA"/>
    <w:lvl w:ilvl="0" w:tplc="3BFA6D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4CCD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83AF6B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7762CC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EBEDA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64420D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CC0DC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9166E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2E6794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53B6554"/>
    <w:multiLevelType w:val="hybridMultilevel"/>
    <w:tmpl w:val="31C823AC"/>
    <w:lvl w:ilvl="0" w:tplc="F0CEA4E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9942F23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B20ABF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A418CC5A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3864B96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8740438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5A3C0DFE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8AAFDE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65668D6E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E523A"/>
    <w:multiLevelType w:val="hybridMultilevel"/>
    <w:tmpl w:val="9364D266"/>
    <w:lvl w:ilvl="0" w:tplc="33CC893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40848E1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AA12093A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70422696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C062FBC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52DAC4D6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C7A6DE5C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97838DC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C98A31F4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ACD1B1C"/>
    <w:multiLevelType w:val="hybridMultilevel"/>
    <w:tmpl w:val="94A62806"/>
    <w:lvl w:ilvl="0" w:tplc="BAEA2CBE">
      <w:start w:val="1"/>
      <w:numFmt w:val="decimal"/>
      <w:lvlText w:val="%1."/>
      <w:lvlJc w:val="left"/>
      <w:pPr>
        <w:ind w:left="1429" w:hanging="360"/>
      </w:pPr>
    </w:lvl>
    <w:lvl w:ilvl="1" w:tplc="F0023BA4">
      <w:start w:val="1"/>
      <w:numFmt w:val="lowerLetter"/>
      <w:lvlText w:val="%2."/>
      <w:lvlJc w:val="left"/>
      <w:pPr>
        <w:ind w:left="2149" w:hanging="360"/>
      </w:pPr>
    </w:lvl>
    <w:lvl w:ilvl="2" w:tplc="63985592">
      <w:start w:val="1"/>
      <w:numFmt w:val="lowerRoman"/>
      <w:lvlText w:val="%3."/>
      <w:lvlJc w:val="right"/>
      <w:pPr>
        <w:ind w:left="2869" w:hanging="180"/>
      </w:pPr>
    </w:lvl>
    <w:lvl w:ilvl="3" w:tplc="5A8E5C82">
      <w:start w:val="1"/>
      <w:numFmt w:val="decimal"/>
      <w:lvlText w:val="%4."/>
      <w:lvlJc w:val="left"/>
      <w:pPr>
        <w:ind w:left="3589" w:hanging="360"/>
      </w:pPr>
    </w:lvl>
    <w:lvl w:ilvl="4" w:tplc="5638F8E2">
      <w:start w:val="1"/>
      <w:numFmt w:val="lowerLetter"/>
      <w:lvlText w:val="%5."/>
      <w:lvlJc w:val="left"/>
      <w:pPr>
        <w:ind w:left="4309" w:hanging="360"/>
      </w:pPr>
    </w:lvl>
    <w:lvl w:ilvl="5" w:tplc="9A4E0C7C">
      <w:start w:val="1"/>
      <w:numFmt w:val="lowerRoman"/>
      <w:lvlText w:val="%6."/>
      <w:lvlJc w:val="right"/>
      <w:pPr>
        <w:ind w:left="5029" w:hanging="180"/>
      </w:pPr>
    </w:lvl>
    <w:lvl w:ilvl="6" w:tplc="731EBB24">
      <w:start w:val="1"/>
      <w:numFmt w:val="decimal"/>
      <w:lvlText w:val="%7."/>
      <w:lvlJc w:val="left"/>
      <w:pPr>
        <w:ind w:left="5749" w:hanging="360"/>
      </w:pPr>
    </w:lvl>
    <w:lvl w:ilvl="7" w:tplc="C2DE48A2">
      <w:start w:val="1"/>
      <w:numFmt w:val="lowerLetter"/>
      <w:lvlText w:val="%8."/>
      <w:lvlJc w:val="left"/>
      <w:pPr>
        <w:ind w:left="6469" w:hanging="360"/>
      </w:pPr>
    </w:lvl>
    <w:lvl w:ilvl="8" w:tplc="E0B2A334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5A5C46"/>
    <w:multiLevelType w:val="hybridMultilevel"/>
    <w:tmpl w:val="794CFB54"/>
    <w:lvl w:ilvl="0" w:tplc="7EA03B7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974E136E">
      <w:start w:val="1"/>
      <w:numFmt w:val="lowerLetter"/>
      <w:lvlText w:val="%2."/>
      <w:lvlJc w:val="left"/>
      <w:pPr>
        <w:ind w:left="1080" w:hanging="360"/>
      </w:pPr>
    </w:lvl>
    <w:lvl w:ilvl="2" w:tplc="A2AAEF94">
      <w:start w:val="1"/>
      <w:numFmt w:val="lowerRoman"/>
      <w:lvlText w:val="%3."/>
      <w:lvlJc w:val="right"/>
      <w:pPr>
        <w:ind w:left="1800" w:hanging="180"/>
      </w:pPr>
    </w:lvl>
    <w:lvl w:ilvl="3" w:tplc="7FDA2B92">
      <w:start w:val="1"/>
      <w:numFmt w:val="decimal"/>
      <w:lvlText w:val="%4."/>
      <w:lvlJc w:val="left"/>
      <w:pPr>
        <w:ind w:left="2520" w:hanging="360"/>
      </w:pPr>
    </w:lvl>
    <w:lvl w:ilvl="4" w:tplc="0B0AE4A4">
      <w:start w:val="1"/>
      <w:numFmt w:val="lowerLetter"/>
      <w:lvlText w:val="%5."/>
      <w:lvlJc w:val="left"/>
      <w:pPr>
        <w:ind w:left="3240" w:hanging="360"/>
      </w:pPr>
    </w:lvl>
    <w:lvl w:ilvl="5" w:tplc="FF064EB8">
      <w:start w:val="1"/>
      <w:numFmt w:val="lowerRoman"/>
      <w:lvlText w:val="%6."/>
      <w:lvlJc w:val="right"/>
      <w:pPr>
        <w:ind w:left="3960" w:hanging="180"/>
      </w:pPr>
    </w:lvl>
    <w:lvl w:ilvl="6" w:tplc="3A8693EA">
      <w:start w:val="1"/>
      <w:numFmt w:val="decimal"/>
      <w:lvlText w:val="%7."/>
      <w:lvlJc w:val="left"/>
      <w:pPr>
        <w:ind w:left="4680" w:hanging="360"/>
      </w:pPr>
    </w:lvl>
    <w:lvl w:ilvl="7" w:tplc="0332EFB0">
      <w:start w:val="1"/>
      <w:numFmt w:val="lowerLetter"/>
      <w:lvlText w:val="%8."/>
      <w:lvlJc w:val="left"/>
      <w:pPr>
        <w:ind w:left="5400" w:hanging="360"/>
      </w:pPr>
    </w:lvl>
    <w:lvl w:ilvl="8" w:tplc="C74686EA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55719D"/>
    <w:multiLevelType w:val="hybridMultilevel"/>
    <w:tmpl w:val="D2ACC2EE"/>
    <w:lvl w:ilvl="0" w:tplc="9F88B06A">
      <w:start w:val="1"/>
      <w:numFmt w:val="bullet"/>
      <w:lvlText w:val="-"/>
      <w:lvlJc w:val="left"/>
      <w:pPr>
        <w:ind w:left="1429" w:hanging="360"/>
      </w:pPr>
      <w:rPr>
        <w:rFonts w:ascii="Courier New" w:hAnsi="Courier New"/>
      </w:rPr>
    </w:lvl>
    <w:lvl w:ilvl="1" w:tplc="66183A0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918E7724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401E393E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589E3BE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36746DF6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D2A81CC4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EC60ACF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96DC0ECE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2E6458B"/>
    <w:multiLevelType w:val="hybridMultilevel"/>
    <w:tmpl w:val="6076147E"/>
    <w:lvl w:ilvl="0" w:tplc="6D1086FC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F0AA70C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A9600D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76C19A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412D70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DDACB5E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8A0D5C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4382F7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4BC298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45309F"/>
    <w:multiLevelType w:val="hybridMultilevel"/>
    <w:tmpl w:val="EBCEFA16"/>
    <w:lvl w:ilvl="0" w:tplc="B2F859D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FB6139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6D8AF0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F1C34C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C10A3C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DCB5F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8CAECC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6EEF01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9F824C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1BE7241"/>
    <w:multiLevelType w:val="multilevel"/>
    <w:tmpl w:val="033C8606"/>
    <w:lvl w:ilvl="0">
      <w:start w:val="1"/>
      <w:numFmt w:val="decimal"/>
      <w:pStyle w:val="2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."/>
      <w:lvlJc w:val="left"/>
      <w:pPr>
        <w:tabs>
          <w:tab w:val="num" w:pos="756"/>
        </w:tabs>
        <w:ind w:left="756" w:hanging="576"/>
      </w:pPr>
      <w:rPr>
        <w:i w:val="0"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tabs>
          <w:tab w:val="num" w:pos="227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ADE1E91"/>
    <w:multiLevelType w:val="hybridMultilevel"/>
    <w:tmpl w:val="D2603266"/>
    <w:lvl w:ilvl="0" w:tplc="D4B48CD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E5EE85B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D7AA50E0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6318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9F6061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2E0B7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C9429F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028EC5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0DECD9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B41448C"/>
    <w:multiLevelType w:val="hybridMultilevel"/>
    <w:tmpl w:val="F1001F94"/>
    <w:lvl w:ilvl="0" w:tplc="FA34337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990E4F0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7C867E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FDABC0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36AAC3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4681FA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84ADD6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D4CE8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28905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B74884"/>
    <w:multiLevelType w:val="hybridMultilevel"/>
    <w:tmpl w:val="75465A02"/>
    <w:lvl w:ilvl="0" w:tplc="63761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7C31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580E9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7ECDC9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03C42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7AA256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02C53A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316EC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12876F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D5E737C"/>
    <w:multiLevelType w:val="hybridMultilevel"/>
    <w:tmpl w:val="5884205E"/>
    <w:lvl w:ilvl="0" w:tplc="3FF295B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ECCE320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6C6322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22CA87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2E64C6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F9A37D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764E71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D5A776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3CEC38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865B72"/>
    <w:multiLevelType w:val="hybridMultilevel"/>
    <w:tmpl w:val="D34A46FC"/>
    <w:lvl w:ilvl="0" w:tplc="8A08FD50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9D820A2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C08F310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E56BE3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C6A42E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B3A8F7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7E6952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04A2472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2C89AF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10"/>
  </w:num>
  <w:num w:numId="8">
    <w:abstractNumId w:val="3"/>
  </w:num>
  <w:num w:numId="9">
    <w:abstractNumId w:val="7"/>
  </w:num>
  <w:num w:numId="10">
    <w:abstractNumId w:val="13"/>
  </w:num>
  <w:num w:numId="11">
    <w:abstractNumId w:val="9"/>
  </w:num>
  <w:num w:numId="12">
    <w:abstractNumId w:val="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B0"/>
    <w:rsid w:val="00032CB0"/>
    <w:rsid w:val="0060386F"/>
    <w:rsid w:val="007943BE"/>
    <w:rsid w:val="00B70466"/>
    <w:rsid w:val="00C13DDF"/>
    <w:rsid w:val="00C9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Autospacing="1" w:afterAutospacing="1"/>
      <w:jc w:val="center"/>
      <w:outlineLvl w:val="0"/>
    </w:pPr>
    <w:rPr>
      <w:b/>
      <w:bCs/>
      <w:sz w:val="32"/>
      <w:szCs w:val="48"/>
      <w:lang w:val="en-US" w:eastAsia="en-US"/>
    </w:rPr>
  </w:style>
  <w:style w:type="paragraph" w:styleId="21">
    <w:name w:val="heading 2"/>
    <w:basedOn w:val="a"/>
    <w:next w:val="a"/>
    <w:link w:val="22"/>
    <w:uiPriority w:val="9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"/>
    <w:link w:val="3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120" w:after="120"/>
      <w:jc w:val="center"/>
      <w:outlineLvl w:val="1"/>
    </w:pPr>
    <w:rPr>
      <w:b/>
      <w:sz w:val="28"/>
      <w:lang w:val="en-US"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9345"/>
      </w:tabs>
      <w:spacing w:line="360" w:lineRule="auto"/>
      <w:ind w:firstLine="709"/>
      <w:jc w:val="both"/>
    </w:pPr>
    <w:rPr>
      <w:b/>
    </w:rPr>
  </w:style>
  <w:style w:type="paragraph" w:styleId="25">
    <w:name w:val="toc 2"/>
    <w:basedOn w:val="a"/>
    <w:next w:val="a"/>
    <w:uiPriority w:val="39"/>
    <w:unhideWhenUsed/>
    <w:pPr>
      <w:tabs>
        <w:tab w:val="right" w:leader="dot" w:pos="9345"/>
      </w:tabs>
      <w:spacing w:line="360" w:lineRule="auto"/>
      <w:ind w:firstLine="709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semiHidden/>
    <w:unhideWhenUsed/>
    <w:qFormat/>
    <w:pPr>
      <w:keepNext/>
      <w:keepLines/>
      <w:spacing w:before="480" w:beforeAutospacing="0" w:afterAutospacing="0" w:line="276" w:lineRule="auto"/>
      <w:jc w:val="left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af9">
    <w:name w:val="table of figures"/>
    <w:basedOn w:val="a"/>
    <w:next w:val="a"/>
    <w:uiPriority w:val="99"/>
    <w:unhideWhenUsed/>
  </w:style>
  <w:style w:type="table" w:customStyle="1" w:styleId="13">
    <w:name w:val="Стиль таблицы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тиль таблицы2"/>
    <w:basedOn w:val="3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тиль таблицы3"/>
    <w:basedOn w:val="-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Table Simple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basedOn w:val="a"/>
    <w:link w:val="afb"/>
    <w:pPr>
      <w:ind w:left="312" w:hanging="312"/>
      <w:jc w:val="both"/>
    </w:pPr>
    <w:rPr>
      <w:sz w:val="28"/>
      <w:szCs w:val="20"/>
      <w:lang w:val="en-US" w:eastAsia="en-US"/>
    </w:rPr>
  </w:style>
  <w:style w:type="table" w:styleId="-3">
    <w:name w:val="Table Web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 с отступом Знак"/>
    <w:link w:val="afa"/>
    <w:rPr>
      <w:sz w:val="28"/>
      <w:lang w:eastAsia="en-US"/>
    </w:rPr>
  </w:style>
  <w:style w:type="character" w:customStyle="1" w:styleId="10">
    <w:name w:val="Заголовок 1 Знак"/>
    <w:link w:val="1"/>
    <w:uiPriority w:val="9"/>
    <w:rPr>
      <w:b/>
      <w:bCs/>
      <w:sz w:val="32"/>
      <w:szCs w:val="48"/>
      <w:lang w:val="en-US" w:eastAsia="en-US"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</w:rPr>
  </w:style>
  <w:style w:type="paragraph" w:styleId="afc">
    <w:name w:val="Balloon Text"/>
    <w:basedOn w:val="a"/>
    <w:link w:val="afd"/>
    <w:semiHidden/>
    <w:rPr>
      <w:rFonts w:ascii="Tahoma" w:hAnsi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semiHidden/>
    <w:rPr>
      <w:rFonts w:ascii="Tahoma" w:hAnsi="Tahoma" w:cs="Tahoma"/>
      <w:sz w:val="16"/>
      <w:szCs w:val="16"/>
    </w:rPr>
  </w:style>
  <w:style w:type="character" w:styleId="afe">
    <w:name w:val="annotation reference"/>
    <w:semiHidden/>
    <w:rPr>
      <w:sz w:val="16"/>
      <w:szCs w:val="16"/>
    </w:rPr>
  </w:style>
  <w:style w:type="paragraph" w:styleId="aff">
    <w:name w:val="annotation text"/>
    <w:basedOn w:val="a"/>
    <w:link w:val="aff0"/>
    <w:semiHidden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semiHidden/>
  </w:style>
  <w:style w:type="paragraph" w:styleId="aff1">
    <w:name w:val="annotation subject"/>
    <w:basedOn w:val="aff"/>
    <w:next w:val="aff"/>
    <w:link w:val="aff2"/>
    <w:semiHidden/>
    <w:rPr>
      <w:b/>
      <w:bCs/>
      <w:lang w:val="en-US" w:eastAsia="en-US"/>
    </w:rPr>
  </w:style>
  <w:style w:type="character" w:customStyle="1" w:styleId="aff2">
    <w:name w:val="Тема примечания Знак"/>
    <w:link w:val="aff1"/>
    <w:semiHidden/>
    <w:rPr>
      <w:b/>
      <w:bCs/>
    </w:rPr>
  </w:style>
  <w:style w:type="paragraph" w:customStyle="1" w:styleId="aff3">
    <w:name w:val="Знак"/>
    <w:basedOn w:val="a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2">
    <w:name w:val="Стиль2"/>
    <w:basedOn w:val="20"/>
    <w:pPr>
      <w:keepNext/>
      <w:keepLines/>
      <w:widowControl w:val="0"/>
      <w:numPr>
        <w:ilvl w:val="0"/>
      </w:numPr>
      <w:suppressLineNumbers/>
      <w:tabs>
        <w:tab w:val="clear" w:pos="432"/>
        <w:tab w:val="num" w:pos="756"/>
      </w:tabs>
      <w:spacing w:after="60"/>
      <w:ind w:left="756" w:hanging="576"/>
      <w:jc w:val="both"/>
    </w:pPr>
    <w:rPr>
      <w:b/>
      <w:sz w:val="24"/>
    </w:rPr>
  </w:style>
  <w:style w:type="paragraph" w:styleId="20">
    <w:name w:val="List Number 2"/>
    <w:basedOn w:val="a"/>
    <w:pPr>
      <w:numPr>
        <w:ilvl w:val="1"/>
        <w:numId w:val="4"/>
      </w:numPr>
      <w:tabs>
        <w:tab w:val="clear" w:pos="756"/>
        <w:tab w:val="num" w:pos="432"/>
      </w:tabs>
      <w:ind w:left="432" w:hanging="432"/>
    </w:pPr>
    <w:rPr>
      <w:sz w:val="20"/>
      <w:szCs w:val="20"/>
    </w:rPr>
  </w:style>
  <w:style w:type="paragraph" w:customStyle="1" w:styleId="3">
    <w:name w:val="Стиль3"/>
    <w:basedOn w:val="27"/>
    <w:pPr>
      <w:widowControl w:val="0"/>
      <w:numPr>
        <w:ilvl w:val="2"/>
        <w:numId w:val="4"/>
      </w:numPr>
      <w:spacing w:after="0" w:line="240" w:lineRule="auto"/>
      <w:jc w:val="both"/>
    </w:pPr>
    <w:rPr>
      <w:szCs w:val="20"/>
    </w:rPr>
  </w:style>
  <w:style w:type="character" w:customStyle="1" w:styleId="FontStyle23">
    <w:name w:val="Font Style23"/>
    <w:rPr>
      <w:rFonts w:ascii="Times New Roman" w:hAnsi="Times New Roman" w:cs="Times New Roman"/>
      <w:sz w:val="26"/>
      <w:szCs w:val="26"/>
    </w:rPr>
  </w:style>
  <w:style w:type="paragraph" w:styleId="27">
    <w:name w:val="Body Text Indent 2"/>
    <w:basedOn w:val="a"/>
    <w:link w:val="28"/>
    <w:pPr>
      <w:spacing w:after="120" w:line="480" w:lineRule="auto"/>
      <w:ind w:left="283"/>
    </w:pPr>
    <w:rPr>
      <w:lang w:val="en-US" w:eastAsia="en-US"/>
    </w:rPr>
  </w:style>
  <w:style w:type="character" w:customStyle="1" w:styleId="28">
    <w:name w:val="Основной текст с отступом 2 Знак"/>
    <w:link w:val="27"/>
    <w:rPr>
      <w:sz w:val="24"/>
      <w:szCs w:val="24"/>
    </w:rPr>
  </w:style>
  <w:style w:type="paragraph" w:styleId="aff4">
    <w:name w:val="Normal (Web)"/>
    <w:basedOn w:val="a"/>
    <w:uiPriority w:val="99"/>
    <w:pPr>
      <w:spacing w:before="100" w:beforeAutospacing="1" w:after="100" w:afterAutospacing="1"/>
    </w:pPr>
  </w:style>
  <w:style w:type="character" w:customStyle="1" w:styleId="postbody1">
    <w:name w:val="postbody1"/>
    <w:rPr>
      <w:sz w:val="30"/>
      <w:szCs w:val="30"/>
    </w:rPr>
  </w:style>
  <w:style w:type="numbering" w:customStyle="1" w:styleId="14">
    <w:name w:val="Стиль1"/>
  </w:style>
  <w:style w:type="numbering" w:customStyle="1" w:styleId="43">
    <w:name w:val="Стиль4"/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rFonts w:eastAsia="Times New Roman" w:cs="Times New Roman"/>
      <w:b/>
      <w:sz w:val="28"/>
      <w:szCs w:val="24"/>
    </w:rPr>
  </w:style>
  <w:style w:type="character" w:customStyle="1" w:styleId="22">
    <w:name w:val="Заголовок 2 Знак"/>
    <w:link w:val="21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noindent">
    <w:name w:val="noindent"/>
    <w:basedOn w:val="a"/>
    <w:pPr>
      <w:spacing w:before="100" w:beforeAutospacing="1" w:after="100" w:afterAutospacing="1"/>
    </w:pPr>
  </w:style>
  <w:style w:type="character" w:styleId="aff5">
    <w:name w:val="Strong"/>
    <w:uiPriority w:val="22"/>
    <w:qFormat/>
    <w:rPr>
      <w:b/>
      <w:bCs/>
    </w:rPr>
  </w:style>
  <w:style w:type="character" w:styleId="aff6">
    <w:name w:val="Emphasis"/>
    <w:uiPriority w:val="20"/>
    <w:qFormat/>
    <w:rPr>
      <w:i/>
      <w:iCs/>
    </w:rPr>
  </w:style>
  <w:style w:type="paragraph" w:customStyle="1" w:styleId="aff7">
    <w:name w:val="Структурный элемент заголовок"/>
    <w:basedOn w:val="a"/>
    <w:next w:val="a"/>
    <w:link w:val="aff8"/>
    <w:qFormat/>
    <w:pPr>
      <w:shd w:val="clear" w:color="auto" w:fill="FFFFFF"/>
      <w:tabs>
        <w:tab w:val="left" w:pos="1195"/>
      </w:tabs>
      <w:spacing w:before="120" w:after="120" w:line="360" w:lineRule="auto"/>
      <w:jc w:val="center"/>
      <w:outlineLvl w:val="0"/>
    </w:pPr>
    <w:rPr>
      <w:b/>
      <w:color w:val="000000"/>
      <w:sz w:val="28"/>
      <w:szCs w:val="28"/>
      <w:lang w:eastAsia="ar-SA"/>
    </w:rPr>
  </w:style>
  <w:style w:type="character" w:customStyle="1" w:styleId="aff8">
    <w:name w:val="Структурный элемент заголовок Знак"/>
    <w:link w:val="aff7"/>
    <w:rPr>
      <w:b/>
      <w:color w:val="000000"/>
      <w:sz w:val="28"/>
      <w:szCs w:val="28"/>
      <w:shd w:val="clear" w:color="auto" w:fill="FFFFF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Autospacing="1" w:afterAutospacing="1"/>
      <w:jc w:val="center"/>
      <w:outlineLvl w:val="0"/>
    </w:pPr>
    <w:rPr>
      <w:b/>
      <w:bCs/>
      <w:sz w:val="32"/>
      <w:szCs w:val="48"/>
      <w:lang w:val="en-US" w:eastAsia="en-US"/>
    </w:rPr>
  </w:style>
  <w:style w:type="paragraph" w:styleId="21">
    <w:name w:val="heading 2"/>
    <w:basedOn w:val="a"/>
    <w:next w:val="a"/>
    <w:link w:val="22"/>
    <w:uiPriority w:val="9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"/>
    <w:link w:val="3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120" w:after="120"/>
      <w:jc w:val="center"/>
      <w:outlineLvl w:val="1"/>
    </w:pPr>
    <w:rPr>
      <w:b/>
      <w:sz w:val="28"/>
      <w:lang w:val="en-US"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9345"/>
      </w:tabs>
      <w:spacing w:line="360" w:lineRule="auto"/>
      <w:ind w:firstLine="709"/>
      <w:jc w:val="both"/>
    </w:pPr>
    <w:rPr>
      <w:b/>
    </w:rPr>
  </w:style>
  <w:style w:type="paragraph" w:styleId="25">
    <w:name w:val="toc 2"/>
    <w:basedOn w:val="a"/>
    <w:next w:val="a"/>
    <w:uiPriority w:val="39"/>
    <w:unhideWhenUsed/>
    <w:pPr>
      <w:tabs>
        <w:tab w:val="right" w:leader="dot" w:pos="9345"/>
      </w:tabs>
      <w:spacing w:line="360" w:lineRule="auto"/>
      <w:ind w:firstLine="709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semiHidden/>
    <w:unhideWhenUsed/>
    <w:qFormat/>
    <w:pPr>
      <w:keepNext/>
      <w:keepLines/>
      <w:spacing w:before="480" w:beforeAutospacing="0" w:afterAutospacing="0" w:line="276" w:lineRule="auto"/>
      <w:jc w:val="left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af9">
    <w:name w:val="table of figures"/>
    <w:basedOn w:val="a"/>
    <w:next w:val="a"/>
    <w:uiPriority w:val="99"/>
    <w:unhideWhenUsed/>
  </w:style>
  <w:style w:type="table" w:customStyle="1" w:styleId="13">
    <w:name w:val="Стиль таблицы1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тиль таблицы2"/>
    <w:basedOn w:val="3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тиль таблицы3"/>
    <w:basedOn w:val="-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Table Simple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basedOn w:val="a"/>
    <w:link w:val="afb"/>
    <w:pPr>
      <w:ind w:left="312" w:hanging="312"/>
      <w:jc w:val="both"/>
    </w:pPr>
    <w:rPr>
      <w:sz w:val="28"/>
      <w:szCs w:val="20"/>
      <w:lang w:val="en-US" w:eastAsia="en-US"/>
    </w:rPr>
  </w:style>
  <w:style w:type="table" w:styleId="-3">
    <w:name w:val="Table Web 3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 с отступом Знак"/>
    <w:link w:val="afa"/>
    <w:rPr>
      <w:sz w:val="28"/>
      <w:lang w:eastAsia="en-US"/>
    </w:rPr>
  </w:style>
  <w:style w:type="character" w:customStyle="1" w:styleId="10">
    <w:name w:val="Заголовок 1 Знак"/>
    <w:link w:val="1"/>
    <w:uiPriority w:val="9"/>
    <w:rPr>
      <w:b/>
      <w:bCs/>
      <w:sz w:val="32"/>
      <w:szCs w:val="48"/>
      <w:lang w:val="en-US" w:eastAsia="en-US"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</w:rPr>
  </w:style>
  <w:style w:type="paragraph" w:styleId="afc">
    <w:name w:val="Balloon Text"/>
    <w:basedOn w:val="a"/>
    <w:link w:val="afd"/>
    <w:semiHidden/>
    <w:rPr>
      <w:rFonts w:ascii="Tahoma" w:hAnsi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semiHidden/>
    <w:rPr>
      <w:rFonts w:ascii="Tahoma" w:hAnsi="Tahoma" w:cs="Tahoma"/>
      <w:sz w:val="16"/>
      <w:szCs w:val="16"/>
    </w:rPr>
  </w:style>
  <w:style w:type="character" w:styleId="afe">
    <w:name w:val="annotation reference"/>
    <w:semiHidden/>
    <w:rPr>
      <w:sz w:val="16"/>
      <w:szCs w:val="16"/>
    </w:rPr>
  </w:style>
  <w:style w:type="paragraph" w:styleId="aff">
    <w:name w:val="annotation text"/>
    <w:basedOn w:val="a"/>
    <w:link w:val="aff0"/>
    <w:semiHidden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semiHidden/>
  </w:style>
  <w:style w:type="paragraph" w:styleId="aff1">
    <w:name w:val="annotation subject"/>
    <w:basedOn w:val="aff"/>
    <w:next w:val="aff"/>
    <w:link w:val="aff2"/>
    <w:semiHidden/>
    <w:rPr>
      <w:b/>
      <w:bCs/>
      <w:lang w:val="en-US" w:eastAsia="en-US"/>
    </w:rPr>
  </w:style>
  <w:style w:type="character" w:customStyle="1" w:styleId="aff2">
    <w:name w:val="Тема примечания Знак"/>
    <w:link w:val="aff1"/>
    <w:semiHidden/>
    <w:rPr>
      <w:b/>
      <w:bCs/>
    </w:rPr>
  </w:style>
  <w:style w:type="paragraph" w:customStyle="1" w:styleId="aff3">
    <w:name w:val="Знак"/>
    <w:basedOn w:val="a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2">
    <w:name w:val="Стиль2"/>
    <w:basedOn w:val="20"/>
    <w:pPr>
      <w:keepNext/>
      <w:keepLines/>
      <w:widowControl w:val="0"/>
      <w:numPr>
        <w:ilvl w:val="0"/>
      </w:numPr>
      <w:suppressLineNumbers/>
      <w:tabs>
        <w:tab w:val="clear" w:pos="432"/>
        <w:tab w:val="num" w:pos="756"/>
      </w:tabs>
      <w:spacing w:after="60"/>
      <w:ind w:left="756" w:hanging="576"/>
      <w:jc w:val="both"/>
    </w:pPr>
    <w:rPr>
      <w:b/>
      <w:sz w:val="24"/>
    </w:rPr>
  </w:style>
  <w:style w:type="paragraph" w:styleId="20">
    <w:name w:val="List Number 2"/>
    <w:basedOn w:val="a"/>
    <w:pPr>
      <w:numPr>
        <w:ilvl w:val="1"/>
        <w:numId w:val="4"/>
      </w:numPr>
      <w:tabs>
        <w:tab w:val="clear" w:pos="756"/>
        <w:tab w:val="num" w:pos="432"/>
      </w:tabs>
      <w:ind w:left="432" w:hanging="432"/>
    </w:pPr>
    <w:rPr>
      <w:sz w:val="20"/>
      <w:szCs w:val="20"/>
    </w:rPr>
  </w:style>
  <w:style w:type="paragraph" w:customStyle="1" w:styleId="3">
    <w:name w:val="Стиль3"/>
    <w:basedOn w:val="27"/>
    <w:pPr>
      <w:widowControl w:val="0"/>
      <w:numPr>
        <w:ilvl w:val="2"/>
        <w:numId w:val="4"/>
      </w:numPr>
      <w:spacing w:after="0" w:line="240" w:lineRule="auto"/>
      <w:jc w:val="both"/>
    </w:pPr>
    <w:rPr>
      <w:szCs w:val="20"/>
    </w:rPr>
  </w:style>
  <w:style w:type="character" w:customStyle="1" w:styleId="FontStyle23">
    <w:name w:val="Font Style23"/>
    <w:rPr>
      <w:rFonts w:ascii="Times New Roman" w:hAnsi="Times New Roman" w:cs="Times New Roman"/>
      <w:sz w:val="26"/>
      <w:szCs w:val="26"/>
    </w:rPr>
  </w:style>
  <w:style w:type="paragraph" w:styleId="27">
    <w:name w:val="Body Text Indent 2"/>
    <w:basedOn w:val="a"/>
    <w:link w:val="28"/>
    <w:pPr>
      <w:spacing w:after="120" w:line="480" w:lineRule="auto"/>
      <w:ind w:left="283"/>
    </w:pPr>
    <w:rPr>
      <w:lang w:val="en-US" w:eastAsia="en-US"/>
    </w:rPr>
  </w:style>
  <w:style w:type="character" w:customStyle="1" w:styleId="28">
    <w:name w:val="Основной текст с отступом 2 Знак"/>
    <w:link w:val="27"/>
    <w:rPr>
      <w:sz w:val="24"/>
      <w:szCs w:val="24"/>
    </w:rPr>
  </w:style>
  <w:style w:type="paragraph" w:styleId="aff4">
    <w:name w:val="Normal (Web)"/>
    <w:basedOn w:val="a"/>
    <w:uiPriority w:val="99"/>
    <w:pPr>
      <w:spacing w:before="100" w:beforeAutospacing="1" w:after="100" w:afterAutospacing="1"/>
    </w:pPr>
  </w:style>
  <w:style w:type="character" w:customStyle="1" w:styleId="postbody1">
    <w:name w:val="postbody1"/>
    <w:rPr>
      <w:sz w:val="30"/>
      <w:szCs w:val="30"/>
    </w:rPr>
  </w:style>
  <w:style w:type="numbering" w:customStyle="1" w:styleId="14">
    <w:name w:val="Стиль1"/>
  </w:style>
  <w:style w:type="numbering" w:customStyle="1" w:styleId="43">
    <w:name w:val="Стиль4"/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rFonts w:eastAsia="Times New Roman" w:cs="Times New Roman"/>
      <w:b/>
      <w:sz w:val="28"/>
      <w:szCs w:val="24"/>
    </w:rPr>
  </w:style>
  <w:style w:type="character" w:customStyle="1" w:styleId="22">
    <w:name w:val="Заголовок 2 Знак"/>
    <w:link w:val="21"/>
    <w:uiPriority w:val="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noindent">
    <w:name w:val="noindent"/>
    <w:basedOn w:val="a"/>
    <w:pPr>
      <w:spacing w:before="100" w:beforeAutospacing="1" w:after="100" w:afterAutospacing="1"/>
    </w:pPr>
  </w:style>
  <w:style w:type="character" w:styleId="aff5">
    <w:name w:val="Strong"/>
    <w:uiPriority w:val="22"/>
    <w:qFormat/>
    <w:rPr>
      <w:b/>
      <w:bCs/>
    </w:rPr>
  </w:style>
  <w:style w:type="character" w:styleId="aff6">
    <w:name w:val="Emphasis"/>
    <w:uiPriority w:val="20"/>
    <w:qFormat/>
    <w:rPr>
      <w:i/>
      <w:iCs/>
    </w:rPr>
  </w:style>
  <w:style w:type="paragraph" w:customStyle="1" w:styleId="aff7">
    <w:name w:val="Структурный элемент заголовок"/>
    <w:basedOn w:val="a"/>
    <w:next w:val="a"/>
    <w:link w:val="aff8"/>
    <w:qFormat/>
    <w:pPr>
      <w:shd w:val="clear" w:color="auto" w:fill="FFFFFF"/>
      <w:tabs>
        <w:tab w:val="left" w:pos="1195"/>
      </w:tabs>
      <w:spacing w:before="120" w:after="120" w:line="360" w:lineRule="auto"/>
      <w:jc w:val="center"/>
      <w:outlineLvl w:val="0"/>
    </w:pPr>
    <w:rPr>
      <w:b/>
      <w:color w:val="000000"/>
      <w:sz w:val="28"/>
      <w:szCs w:val="28"/>
      <w:lang w:eastAsia="ar-SA"/>
    </w:rPr>
  </w:style>
  <w:style w:type="character" w:customStyle="1" w:styleId="aff8">
    <w:name w:val="Структурный элемент заголовок Знак"/>
    <w:link w:val="aff7"/>
    <w:rPr>
      <w:b/>
      <w:color w:val="000000"/>
      <w:sz w:val="28"/>
      <w:szCs w:val="28"/>
      <w:shd w:val="clear" w:color="auto" w:fill="FFFFF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g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5C21E-3D12-4062-873B-2614F606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ФГУ Россельхозцентра по МО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Воронкова</dc:creator>
  <cp:lastModifiedBy>Марина В. Корнева</cp:lastModifiedBy>
  <cp:revision>2</cp:revision>
  <dcterms:created xsi:type="dcterms:W3CDTF">2026-07-15T14:27:00Z</dcterms:created>
  <dcterms:modified xsi:type="dcterms:W3CDTF">2026-07-15T14:27:00Z</dcterms:modified>
  <cp:version>983040</cp:version>
</cp:coreProperties>
</file>